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5.png" ContentType="image/png"/>
  <Override PartName="/word/media/image4.jpeg" ContentType="image/jpeg"/>
  <Override PartName="/word/media/image6.wmf" ContentType="image/x-wmf"/>
  <Override PartName="/word/media/image7.png" ContentType="image/png"/>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notes.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b/>
          <w:b/>
        </w:rPr>
      </w:pPr>
      <w:r>
        <w:rPr>
          <w:b/>
        </w:rPr>
        <w:t>EL DIRECTOR GENERAL DEL INSTITUTO DISTRITAL DE RECREACIÓN Y DEPORTE</w:t>
      </w:r>
    </w:p>
    <w:p>
      <w:pPr>
        <w:pStyle w:val="Normal"/>
        <w:jc w:val="both"/>
        <w:rPr/>
      </w:pPr>
      <w:r>
        <w:rPr/>
      </w:r>
    </w:p>
    <w:p>
      <w:pPr>
        <w:pStyle w:val="Normal"/>
        <w:spacing w:lineRule="auto" w:line="276"/>
        <w:jc w:val="both"/>
        <w:rPr/>
      </w:pPr>
      <w:r>
        <w:rPr/>
        <w:t xml:space="preserve">En uso de sus facultades constitucionales y legales, en especial las conferidas en los 209 y 269 de la Constitución Política, los numerales 1, 4 y 6 del artículo 38 del Decreto Ley 1421 de 1993, el Acuerdo 4 de 1978, la Resolución No. 006 de 2017, modificada por las Resoluciones de Junta Directiva No. 007 de 2022, 002 de 2023 y </w:t>
      </w:r>
      <w:r>
        <w:rPr>
          <w:lang w:val="es-CO"/>
        </w:rPr>
        <w:t>014 de 2025</w:t>
      </w:r>
      <w:r>
        <w:rPr/>
        <w:t>, las Resoluciones No. 788 de 2019 y 176 de 2024 de la Dirección General del IDRD, y</w:t>
      </w:r>
    </w:p>
    <w:p>
      <w:pPr>
        <w:pStyle w:val="Normal"/>
        <w:spacing w:lineRule="auto" w:line="276"/>
        <w:jc w:val="both"/>
        <w:rPr/>
      </w:pPr>
      <w:r>
        <w:rPr/>
      </w:r>
    </w:p>
    <w:p>
      <w:pPr>
        <w:pStyle w:val="Normal"/>
        <w:spacing w:lineRule="auto" w:line="276"/>
        <w:jc w:val="center"/>
        <w:rPr>
          <w:b/>
          <w:b/>
        </w:rPr>
      </w:pPr>
      <w:r>
        <w:rPr>
          <w:b/>
        </w:rPr>
        <w:t>CONSIDERANDO QUE:</w:t>
      </w:r>
    </w:p>
    <w:p>
      <w:pPr>
        <w:pStyle w:val="Normal"/>
        <w:spacing w:lineRule="auto" w:line="276"/>
        <w:jc w:val="both"/>
        <w:rPr/>
      </w:pPr>
      <w:r>
        <w:rPr/>
      </w:r>
    </w:p>
    <w:p>
      <w:pPr>
        <w:pStyle w:val="Normal"/>
        <w:spacing w:lineRule="auto" w:line="276"/>
        <w:jc w:val="both"/>
        <w:rPr/>
      </w:pPr>
      <w:r>
        <w:rPr>
          <w:lang w:val="es-CO"/>
        </w:rPr>
        <w:t>El artículo </w:t>
      </w:r>
      <w:hyperlink r:id="rId2" w:tgtFrame="_blank">
        <w:r>
          <w:rPr>
            <w:rStyle w:val="EnlacedeInternet"/>
            <w:color w:val="auto"/>
            <w:u w:val="none"/>
            <w:lang w:val="es-CO"/>
          </w:rPr>
          <w:t>209</w:t>
        </w:r>
      </w:hyperlink>
      <w:r>
        <w:rPr>
          <w:lang w:val="es-CO"/>
        </w:rPr>
        <w:t> de la Constitución Política establece que </w:t>
      </w:r>
      <w:r>
        <w:rPr>
          <w:i/>
          <w:iCs/>
          <w:lang w:val="es-CO"/>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r>
        <w:rPr>
          <w:lang w:val="es-CO"/>
        </w:rPr>
        <w:t xml:space="preserve">. </w:t>
      </w:r>
    </w:p>
    <w:p>
      <w:pPr>
        <w:pStyle w:val="Normal"/>
        <w:spacing w:lineRule="auto" w:line="276"/>
        <w:jc w:val="both"/>
        <w:rPr>
          <w:lang w:val="es-CO"/>
        </w:rPr>
      </w:pPr>
      <w:r>
        <w:rPr>
          <w:b/>
          <w:bCs/>
          <w:lang w:val="es-CO"/>
        </w:rPr>
        <w:t> </w:t>
      </w:r>
      <w:r>
        <w:rPr>
          <w:lang w:val="es-CO"/>
        </w:rPr>
        <w:t xml:space="preserve"> </w:t>
      </w:r>
    </w:p>
    <w:p>
      <w:pPr>
        <w:pStyle w:val="Normal"/>
        <w:spacing w:lineRule="auto" w:line="276"/>
        <w:jc w:val="both"/>
        <w:rPr/>
      </w:pPr>
      <w:r>
        <w:rPr>
          <w:lang w:val="es-CO"/>
        </w:rPr>
        <w:t>El artículo </w:t>
      </w:r>
      <w:hyperlink r:id="rId3" w:tgtFrame="_blank">
        <w:r>
          <w:rPr>
            <w:rStyle w:val="EnlacedeInternet"/>
            <w:color w:val="auto"/>
            <w:u w:val="none"/>
            <w:lang w:val="es-CO"/>
          </w:rPr>
          <w:t>269</w:t>
        </w:r>
      </w:hyperlink>
      <w:r>
        <w:rPr>
          <w:lang w:val="es-CO"/>
        </w:rPr>
        <w:t> ídem dispone que, </w:t>
      </w:r>
      <w:r>
        <w:rPr>
          <w:i/>
          <w:iCs/>
          <w:lang w:val="es-CO"/>
        </w:rPr>
        <w:t>"En las entidades públicas, las autoridades correspondientes están obligadas a diseñar y aplicar, según la naturaleza de sus funciones, métodos y procedimientos de control interno, de conformidad con lo que disponga la ley (…)”</w:t>
      </w:r>
    </w:p>
    <w:p>
      <w:pPr>
        <w:pStyle w:val="Normal"/>
        <w:spacing w:lineRule="auto" w:line="276"/>
        <w:jc w:val="both"/>
        <w:rPr>
          <w:lang w:val="es-CO"/>
        </w:rPr>
      </w:pPr>
      <w:r>
        <w:rPr>
          <w:lang w:val="es-CO"/>
        </w:rPr>
      </w:r>
    </w:p>
    <w:p>
      <w:pPr>
        <w:pStyle w:val="Normal"/>
        <w:spacing w:lineRule="auto" w:line="276"/>
        <w:jc w:val="both"/>
        <w:rPr>
          <w:lang w:val="es-CO"/>
        </w:rPr>
      </w:pPr>
      <w:r>
        <w:rPr/>
        <w:t xml:space="preserve">El numeral 1 del artículo 6 del Acuerdo 4 de 1978 del Concejo de Bogotá, estableció como función del (la) Director (a) del Instituto la de </w:t>
      </w:r>
      <w:r>
        <w:rPr>
          <w:i/>
          <w:iCs/>
        </w:rPr>
        <w:t>“Dictar los actos, realizar las operaciones y los contratos que se requieran para el buen funcionamiento del Instituto, de conformidad con los Acuerdo del Concejo, las decisiones de la Junta Directiva y las demás disposiciones estatutarias que rigen la Entidad”.</w:t>
      </w:r>
      <w:r>
        <w:rPr>
          <w:lang w:val="es-CO"/>
        </w:rPr>
        <w:t xml:space="preserve"> </w:t>
      </w:r>
    </w:p>
    <w:p>
      <w:pPr>
        <w:pStyle w:val="Normal"/>
        <w:spacing w:lineRule="auto" w:line="276"/>
        <w:jc w:val="both"/>
        <w:rPr>
          <w:lang w:val="es-CO"/>
        </w:rPr>
      </w:pPr>
      <w:r>
        <w:rPr>
          <w:lang w:val="es-CO"/>
        </w:rPr>
      </w:r>
    </w:p>
    <w:p>
      <w:pPr>
        <w:pStyle w:val="Normal"/>
        <w:spacing w:lineRule="auto" w:line="276"/>
        <w:jc w:val="both"/>
        <w:rPr/>
      </w:pPr>
      <w:r>
        <w:rPr/>
        <w:t>El 28 de diciembre de 2018 se expidió el Acuerdo 734 de 2018</w:t>
      </w:r>
      <w:r>
        <w:rPr>
          <w:rStyle w:val="Ancladenotaalpie"/>
        </w:rPr>
        <w:footnoteReference w:id="2"/>
      </w:r>
      <w:r>
        <w:rPr/>
        <w:t xml:space="preserve">, </w:t>
      </w:r>
      <w:r>
        <w:rPr>
          <w:lang w:val="es-CO"/>
        </w:rPr>
        <w:t>“</w:t>
      </w:r>
      <w:r>
        <w:rPr>
          <w:i/>
          <w:iCs/>
          <w:lang w:val="es-CO"/>
        </w:rPr>
        <w:t>Por el cual se recopila el Registro Distrital de Establecimientos donde se prestan servicios relacionados con entrenamiento y acondicionamiento físico”</w:t>
      </w:r>
    </w:p>
    <w:p>
      <w:pPr>
        <w:pStyle w:val="Normal"/>
        <w:spacing w:lineRule="auto" w:line="276"/>
        <w:jc w:val="both"/>
        <w:rPr>
          <w:i/>
          <w:i/>
          <w:iCs/>
          <w:lang w:val="es-CO"/>
        </w:rPr>
      </w:pPr>
      <w:r>
        <w:rPr>
          <w:i/>
          <w:iCs/>
          <w:lang w:val="es-CO"/>
        </w:rPr>
      </w:r>
    </w:p>
    <w:p>
      <w:pPr>
        <w:pStyle w:val="Normal"/>
        <w:spacing w:lineRule="auto" w:line="276"/>
        <w:jc w:val="both"/>
        <w:rPr/>
      </w:pPr>
      <w:r>
        <w:rPr>
          <w:lang w:val="es-CO"/>
        </w:rPr>
        <w:t xml:space="preserve">El </w:t>
      </w:r>
      <w:r>
        <w:rPr>
          <w:color w:val="000000"/>
          <w:lang w:val="es-CO"/>
        </w:rPr>
        <w:t xml:space="preserve">parágrafo  del </w:t>
      </w:r>
      <w:r>
        <w:rPr>
          <w:lang w:val="es-CO"/>
        </w:rPr>
        <w:t>artículo primero del acuerdo 734 de 2018</w:t>
      </w:r>
      <w:r>
        <w:rPr>
          <w:i/>
          <w:iCs/>
          <w:lang w:val="es-CO"/>
        </w:rPr>
        <w:t xml:space="preserve">, </w:t>
      </w:r>
      <w:r>
        <w:rPr>
          <w:lang w:val="es-CO"/>
        </w:rPr>
        <w:t xml:space="preserve">establece la obligación del Instituto Distrital de Recreación y Deporte -IDRD, o de quien haga sus veces, de recopilar la información relacionada con el registro de establecimientos </w:t>
      </w:r>
      <w:r>
        <w:rPr/>
        <w:t xml:space="preserve">donde se prestan servicios relacionados con el entrenamiento y acondicionamiento físico en el Distrito Capital, con el fin de remitirla semestralmente a las Secretarías Distritales de Salud y de Gobierno, para las acciones de su competencia. </w:t>
      </w:r>
    </w:p>
    <w:p>
      <w:pPr>
        <w:pStyle w:val="Normal"/>
        <w:spacing w:lineRule="auto" w:line="276"/>
        <w:jc w:val="both"/>
        <w:rPr>
          <w:strike/>
          <w:highlight w:val="yellow"/>
          <w:lang w:val="es-CO"/>
        </w:rPr>
      </w:pPr>
      <w:r>
        <w:rPr>
          <w:strike/>
          <w:highlight w:val="yellow"/>
          <w:lang w:val="es-CO"/>
        </w:rPr>
      </w:r>
    </w:p>
    <w:p>
      <w:pPr>
        <w:pStyle w:val="Normal"/>
        <w:spacing w:lineRule="auto" w:line="276"/>
        <w:jc w:val="both"/>
        <w:rPr/>
      </w:pPr>
      <w:r>
        <w:rPr/>
        <w:t>La Resolución 002 de 2023 le asigna al Director del IDRD la función de articular la gestión del Instituto con las demás entidades del sector, garantizando la prestación de los servicios que sean competencia de la Entidad y materializando el principio de coordinación en el ejercicio de la función administrativa.</w:t>
      </w:r>
    </w:p>
    <w:p>
      <w:pPr>
        <w:pStyle w:val="Normal"/>
        <w:spacing w:lineRule="auto" w:line="276"/>
        <w:jc w:val="both"/>
        <w:rPr>
          <w:lang w:val="es-CO"/>
        </w:rPr>
      </w:pPr>
      <w:r>
        <w:rPr>
          <w:lang w:val="es-CO"/>
        </w:rPr>
      </w:r>
    </w:p>
    <w:p>
      <w:pPr>
        <w:pStyle w:val="Normal"/>
        <w:spacing w:lineRule="auto" w:line="276"/>
        <w:jc w:val="both"/>
        <w:rPr>
          <w:lang w:val="es-CO"/>
        </w:rPr>
      </w:pPr>
      <w:r>
        <w:rPr>
          <w:lang w:val="es-CO"/>
        </w:rPr>
        <w:t>En consecuencia, le corresponde al Director del IDRD definir los lineamientos técnicos y administrativos que permitan el cumplimiento oportuno y adecuado de la función asignada por el Concejo de Bogotá.</w:t>
      </w:r>
    </w:p>
    <w:p>
      <w:pPr>
        <w:pStyle w:val="Normal"/>
        <w:spacing w:lineRule="auto" w:line="276"/>
        <w:jc w:val="both"/>
        <w:rPr>
          <w:lang w:val="es-CO"/>
        </w:rPr>
      </w:pPr>
      <w:r>
        <w:rPr>
          <w:lang w:val="es-CO"/>
        </w:rPr>
      </w:r>
    </w:p>
    <w:p>
      <w:pPr>
        <w:pStyle w:val="Normal"/>
        <w:spacing w:lineRule="auto" w:line="276"/>
        <w:jc w:val="both"/>
        <w:rPr>
          <w:i/>
          <w:i/>
          <w:iCs/>
        </w:rPr>
      </w:pPr>
      <w:r>
        <w:rPr/>
        <w:t xml:space="preserve">Por su parte, el </w:t>
      </w:r>
      <w:r>
        <w:rPr>
          <w:lang w:val="es-CO"/>
        </w:rPr>
        <w:t>Subdirector Técnico de Recreación y Deportes del Instituto de Distrital de Recreación y Deporte</w:t>
      </w:r>
      <w:r>
        <w:rPr/>
        <w:t xml:space="preserve"> cuenta con las capacidades técnicas y administrativas necesarias para adelantar dicho proceso de recopilación y gestión de la información, conforme a lo dispuesto en el mencionado Acuerdo, actividad asociada a funciones que ya le corresponde adelantar en virtud de lo dispuesto por la Resolución No 006 de 2017  </w:t>
      </w:r>
      <w:r>
        <w:rPr>
          <w:i/>
        </w:rPr>
        <w:t>"Por la cual se modifica la estructura organizacional y las funciones de las dependencias del Instituto Distrital de Recreación y Deporte, y se dictan otras disposiciones”,</w:t>
      </w:r>
      <w:r>
        <w:rPr/>
        <w:t xml:space="preserve"> que lo faculta para “</w:t>
      </w:r>
      <w:r>
        <w:rPr>
          <w:i/>
        </w:rPr>
        <w:t>Dirigir, ejecutar y controlar los planes, programas y proyectos de recreación que garanticen el acceso masivo de la comunidad para la sana utilización del tiempo libre y de los parques.</w:t>
      </w:r>
      <w:r>
        <w:rPr>
          <w:i/>
          <w:iCs/>
        </w:rPr>
        <w:t>”.</w:t>
      </w:r>
    </w:p>
    <w:p>
      <w:pPr>
        <w:pStyle w:val="Normal"/>
        <w:spacing w:lineRule="auto" w:line="276"/>
        <w:jc w:val="both"/>
        <w:rPr>
          <w:lang w:val="es-CO"/>
        </w:rPr>
      </w:pPr>
      <w:r>
        <w:rPr>
          <w:lang w:val="es-CO"/>
        </w:rPr>
      </w:r>
    </w:p>
    <w:p>
      <w:pPr>
        <w:pStyle w:val="Normal"/>
        <w:spacing w:lineRule="auto" w:line="276"/>
        <w:jc w:val="both"/>
        <w:rPr/>
      </w:pPr>
      <w:r>
        <w:rPr>
          <w:lang w:val="es-CO"/>
        </w:rPr>
        <w:t xml:space="preserve">Por todo lo anteriormente expuesto, el Director del Instituto de Distrital de Recreación y Deporte </w:t>
      </w:r>
      <w:r>
        <w:rPr/>
        <w:t>tiene competencia para expedir el presente acto administrativo, asignando responsabilidades a la Subdirección Técnica de Recreación y Deporte.</w:t>
      </w:r>
    </w:p>
    <w:p>
      <w:pPr>
        <w:pStyle w:val="Normal"/>
        <w:spacing w:lineRule="auto" w:line="276"/>
        <w:jc w:val="both"/>
        <w:rPr>
          <w:i/>
          <w:i/>
          <w:iCs/>
        </w:rPr>
      </w:pPr>
      <w:r>
        <w:rPr>
          <w:i/>
          <w:iCs/>
        </w:rPr>
      </w:r>
    </w:p>
    <w:p>
      <w:pPr>
        <w:pStyle w:val="Normal"/>
        <w:spacing w:lineRule="auto" w:line="276"/>
        <w:jc w:val="both"/>
        <w:rPr>
          <w:color w:val="C9211E"/>
        </w:rPr>
      </w:pPr>
      <w:r>
        <w:rPr>
          <w:i w:val="false"/>
          <w:iCs w:val="false"/>
          <w:color w:val="000000"/>
        </w:rPr>
        <w:t>De conformidad con lo dispuesto en el numeral 8 del artículo 8 de la Ley 1437 de 2011 – Código de Procedimiento Administrativo y de lo Contencioso Administrativo, el proyecto de resolución surtió el correspondiente trámite de participación mediante su publicación en el Sistema LegalBog de la Secretaría Jurídica Distrital, del</w:t>
      </w:r>
      <w:r>
        <w:rPr>
          <w:i w:val="false"/>
          <w:iCs w:val="false"/>
          <w:color w:val="000000"/>
          <w:highlight w:val="yellow"/>
        </w:rPr>
        <w:t xml:space="preserve"> </w:t>
      </w:r>
      <w:r>
        <w:rPr>
          <w:rFonts w:eastAsia="Times New Roman" w:cs="Times New Roman"/>
          <w:i w:val="false"/>
          <w:iCs w:val="false"/>
          <w:color w:val="000000"/>
          <w:sz w:val="24"/>
          <w:szCs w:val="24"/>
          <w:highlight w:val="yellow"/>
          <w:lang w:val="es-ES" w:eastAsia="es-ES"/>
        </w:rPr>
        <w:t xml:space="preserve">25 febrero de 2026 </w:t>
      </w:r>
      <w:r>
        <w:rPr>
          <w:i w:val="false"/>
          <w:iCs w:val="false"/>
          <w:color w:val="000000"/>
          <w:highlight w:val="yellow"/>
        </w:rPr>
        <w:t xml:space="preserve">al </w:t>
      </w:r>
      <w:r>
        <w:rPr>
          <w:rFonts w:eastAsia="Times New Roman" w:cs="Times New Roman"/>
          <w:i w:val="false"/>
          <w:iCs w:val="false"/>
          <w:color w:val="000000"/>
          <w:sz w:val="24"/>
          <w:szCs w:val="24"/>
          <w:highlight w:val="yellow"/>
          <w:lang w:val="es-ES" w:eastAsia="es-ES"/>
        </w:rPr>
        <w:t>3 de marzo de 2026</w:t>
      </w:r>
      <w:r>
        <w:rPr>
          <w:i w:val="false"/>
          <w:iCs w:val="false"/>
          <w:color w:val="000000"/>
        </w:rPr>
        <w:t xml:space="preserve">, invitando a la comunidad en general para que manifestara sus comentarios, dudas y observaciones al proyecto de acto administrativo. Dentro de dicho término </w:t>
      </w:r>
      <w:r>
        <w:rPr>
          <w:i w:val="false"/>
          <w:iCs w:val="false"/>
          <w:color w:val="000000"/>
          <w:highlight w:val="yellow"/>
        </w:rPr>
        <w:t>no</w:t>
      </w:r>
      <w:r>
        <w:rPr>
          <w:i w:val="false"/>
          <w:iCs w:val="false"/>
          <w:color w:val="000000"/>
        </w:rPr>
        <w:t xml:space="preserve"> se presentaron comentarios por parte de los ciudadanos.</w:t>
      </w:r>
      <w:r>
        <w:rPr>
          <w:i/>
          <w:iCs/>
          <w:color w:val="000000"/>
        </w:rPr>
        <w:t xml:space="preserve">  </w:t>
      </w:r>
    </w:p>
    <w:p>
      <w:pPr>
        <w:pStyle w:val="Normal"/>
        <w:spacing w:lineRule="auto" w:line="276"/>
        <w:jc w:val="both"/>
        <w:rPr>
          <w:i/>
          <w:i/>
          <w:iCs/>
        </w:rPr>
      </w:pPr>
      <w:r>
        <w:rPr>
          <w:i/>
          <w:iCs/>
        </w:rPr>
      </w:r>
    </w:p>
    <w:p>
      <w:pPr>
        <w:pStyle w:val="Normal"/>
        <w:spacing w:lineRule="auto" w:line="276"/>
        <w:jc w:val="both"/>
        <w:rPr/>
      </w:pPr>
      <w:r>
        <w:rPr/>
        <w:t>En mérito de lo expuesto,</w:t>
      </w:r>
    </w:p>
    <w:p>
      <w:pPr>
        <w:pStyle w:val="Normal"/>
        <w:spacing w:lineRule="auto" w:line="276"/>
        <w:jc w:val="both"/>
        <w:rPr/>
      </w:pPr>
      <w:r>
        <w:rPr/>
      </w:r>
    </w:p>
    <w:p>
      <w:pPr>
        <w:pStyle w:val="Normal"/>
        <w:spacing w:lineRule="auto" w:line="276"/>
        <w:jc w:val="center"/>
        <w:rPr>
          <w:b/>
          <w:b/>
          <w:bCs/>
        </w:rPr>
      </w:pPr>
      <w:r>
        <w:rPr>
          <w:b/>
          <w:bCs/>
        </w:rPr>
        <w:t>RESUELVE:</w:t>
      </w:r>
    </w:p>
    <w:p>
      <w:pPr>
        <w:pStyle w:val="Normal"/>
        <w:spacing w:lineRule="auto" w:line="276"/>
        <w:jc w:val="center"/>
        <w:rPr>
          <w:b/>
          <w:b/>
          <w:bCs/>
        </w:rPr>
      </w:pPr>
      <w:r>
        <w:rPr>
          <w:b/>
          <w:bCs/>
        </w:rPr>
      </w:r>
    </w:p>
    <w:p>
      <w:pPr>
        <w:pStyle w:val="Normal"/>
        <w:spacing w:lineRule="auto" w:line="276"/>
        <w:jc w:val="both"/>
        <w:rPr>
          <w:lang w:val="es-CO"/>
        </w:rPr>
      </w:pPr>
      <w:r>
        <w:rPr>
          <w:b/>
          <w:bCs/>
          <w:lang w:val="es-CO"/>
        </w:rPr>
        <w:t xml:space="preserve">ARTÍCULO 1°. Objeto. </w:t>
      </w:r>
      <w:r>
        <w:rPr>
          <w:lang w:val="es-CO"/>
        </w:rPr>
        <w:t xml:space="preserve"> Definir los lineamientos técnicos y administrativos para la constitución, actualización, administración y remisión del Registro Distrital de Establecimientos donde se prestan servicios relacionados con el entrenamiento y acondicionamiento físico, ordenada mediante el Acuerdo Distrital 734 de 2018.</w:t>
      </w:r>
    </w:p>
    <w:p>
      <w:pPr>
        <w:pStyle w:val="Normal"/>
        <w:spacing w:lineRule="auto" w:line="276"/>
        <w:jc w:val="both"/>
        <w:rPr>
          <w:b/>
          <w:b/>
          <w:bCs/>
          <w:lang w:val="es-CO"/>
        </w:rPr>
      </w:pPr>
      <w:r>
        <w:rPr>
          <w:b/>
          <w:bCs/>
          <w:lang w:val="es-CO"/>
        </w:rPr>
      </w:r>
    </w:p>
    <w:p>
      <w:pPr>
        <w:pStyle w:val="Normal"/>
        <w:spacing w:lineRule="auto" w:line="276"/>
        <w:jc w:val="both"/>
        <w:rPr/>
      </w:pPr>
      <w:r>
        <w:rPr>
          <w:b/>
          <w:bCs/>
        </w:rPr>
        <w:t>ARTÍCULO 2</w:t>
      </w:r>
      <w:r>
        <w:rPr>
          <w:b/>
          <w:bCs/>
          <w:lang w:val="es-CO"/>
        </w:rPr>
        <w:t>°</w:t>
      </w:r>
      <w:r>
        <w:rPr>
          <w:b/>
          <w:bCs/>
        </w:rPr>
        <w:t xml:space="preserve">. Ámbito de aplicación. </w:t>
      </w:r>
      <w:r>
        <w:rPr>
          <w:lang w:val="es-CO"/>
        </w:rPr>
        <w:t xml:space="preserve">Por disposición del artículo primero del Acuerdo 734 de 2018, </w:t>
      </w:r>
      <w:r>
        <w:rPr/>
        <w:t>la presente resolución será aplicable a todos los establecimientos donde se prestan servicios relacionados con el entrenamiento y acondicionamiento físico.</w:t>
      </w:r>
    </w:p>
    <w:p>
      <w:pPr>
        <w:pStyle w:val="Normal"/>
        <w:spacing w:lineRule="auto" w:line="276"/>
        <w:jc w:val="both"/>
        <w:rPr/>
      </w:pPr>
      <w:r>
        <w:rPr/>
      </w:r>
    </w:p>
    <w:p>
      <w:pPr>
        <w:pStyle w:val="Normal"/>
        <w:spacing w:lineRule="auto" w:line="276"/>
        <w:jc w:val="both"/>
        <w:rPr>
          <w:lang w:val="es-CO"/>
        </w:rPr>
      </w:pPr>
      <w:r>
        <w:rPr>
          <w:b/>
          <w:bCs/>
          <w:lang w:val="es-CO"/>
        </w:rPr>
        <w:t xml:space="preserve">ARTÍCULO 3°. Definición del Registro Distrital. </w:t>
      </w:r>
      <w:r>
        <w:rPr>
          <w:lang w:val="es-CO"/>
        </w:rPr>
        <w:t>El Registro Distrital de Establecimientos donde se prestan servicios relacionados con el entrenamiento y acondicionamiento físico es una base de datos administrada por el Instituto Distrital de Recreación y Deporte -IDRD que consolida la información básica de identificación, localización y características generales de dichos establecimientos.</w:t>
      </w:r>
    </w:p>
    <w:p>
      <w:pPr>
        <w:pStyle w:val="Normal"/>
        <w:spacing w:lineRule="auto" w:line="276"/>
        <w:jc w:val="both"/>
        <w:rPr>
          <w:b/>
          <w:b/>
          <w:bCs/>
          <w:lang w:val="es-CO"/>
        </w:rPr>
      </w:pPr>
      <w:r>
        <w:rPr>
          <w:b/>
          <w:bCs/>
          <w:lang w:val="es-CO"/>
        </w:rPr>
      </w:r>
    </w:p>
    <w:p>
      <w:pPr>
        <w:pStyle w:val="Normal"/>
        <w:spacing w:lineRule="auto" w:line="276"/>
        <w:jc w:val="both"/>
        <w:rPr>
          <w:lang w:val="es-CO"/>
        </w:rPr>
      </w:pPr>
      <w:r>
        <w:rPr>
          <w:b/>
          <w:lang w:val="es-CO"/>
        </w:rPr>
        <w:t xml:space="preserve">Parágrafo. </w:t>
      </w:r>
      <w:r>
        <w:rPr>
          <w:lang w:val="es-CO"/>
        </w:rPr>
        <w:t xml:space="preserve"> </w:t>
      </w:r>
      <w:r>
        <w:rPr/>
        <w:t>La Subdirección Técnica de Recreación y Deporte del IDRD será la responsable de constituir, recopilar, gestionar, actualizar, depurar y remitir la información de los establecimientos de entrenamiento y acondicionamiento físico.</w:t>
      </w:r>
    </w:p>
    <w:p>
      <w:pPr>
        <w:pStyle w:val="Normal"/>
        <w:spacing w:lineRule="auto" w:line="276"/>
        <w:jc w:val="both"/>
        <w:rPr>
          <w:lang w:val="es-CO"/>
        </w:rPr>
      </w:pPr>
      <w:r>
        <w:rPr>
          <w:lang w:val="es-CO"/>
        </w:rPr>
      </w:r>
    </w:p>
    <w:p>
      <w:pPr>
        <w:pStyle w:val="Normal"/>
        <w:spacing w:lineRule="auto" w:line="276"/>
        <w:jc w:val="both"/>
        <w:rPr/>
      </w:pPr>
      <w:r>
        <w:rPr>
          <w:b/>
        </w:rPr>
        <w:t>ARTÍCULO 4</w:t>
      </w:r>
      <w:r>
        <w:rPr>
          <w:b/>
          <w:bCs/>
          <w:lang w:val="es-CO"/>
        </w:rPr>
        <w:t>°</w:t>
      </w:r>
      <w:r>
        <w:rPr>
          <w:b/>
        </w:rPr>
        <w:t xml:space="preserve">. </w:t>
      </w:r>
      <w:r>
        <w:rPr>
          <w:b/>
          <w:bCs/>
        </w:rPr>
        <w:t>información mínima del registro.</w:t>
      </w:r>
      <w:r>
        <w:rPr/>
        <w:t xml:space="preserve"> El registro deberá contener, como mínimo, la siguiente información:</w:t>
      </w:r>
    </w:p>
    <w:p>
      <w:pPr>
        <w:pStyle w:val="Normal"/>
        <w:spacing w:lineRule="auto" w:line="276"/>
        <w:jc w:val="both"/>
        <w:rPr/>
      </w:pPr>
      <w:r>
        <w:rPr/>
      </w:r>
    </w:p>
    <w:p>
      <w:pPr>
        <w:pStyle w:val="Normal"/>
        <w:spacing w:lineRule="auto" w:line="276"/>
        <w:jc w:val="both"/>
        <w:rPr/>
      </w:pPr>
      <w:r>
        <w:rPr/>
        <w:t>1. Información del representante legal</w:t>
      </w:r>
    </w:p>
    <w:p>
      <w:pPr>
        <w:pStyle w:val="Normal"/>
        <w:spacing w:lineRule="auto" w:line="276"/>
        <w:jc w:val="both"/>
        <w:rPr/>
      </w:pPr>
      <w:r>
        <w:rPr/>
        <w:t>1.1. Nombres y apellidos completos.</w:t>
      </w:r>
    </w:p>
    <w:p>
      <w:pPr>
        <w:pStyle w:val="Normal"/>
        <w:spacing w:lineRule="auto" w:line="276"/>
        <w:jc w:val="both"/>
        <w:rPr/>
      </w:pPr>
      <w:r>
        <w:rPr/>
      </w:r>
    </w:p>
    <w:p>
      <w:pPr>
        <w:pStyle w:val="Normal"/>
        <w:spacing w:lineRule="auto" w:line="276"/>
        <w:jc w:val="both"/>
        <w:rPr/>
      </w:pPr>
      <w:r>
        <w:rPr/>
        <w:t>2. Información del establecimiento</w:t>
      </w:r>
    </w:p>
    <w:p>
      <w:pPr>
        <w:pStyle w:val="Normal"/>
        <w:spacing w:lineRule="auto" w:line="276"/>
        <w:jc w:val="both"/>
        <w:rPr/>
      </w:pPr>
      <w:r>
        <w:rPr/>
        <w:t xml:space="preserve">2.1. Número de establecimientos. </w:t>
      </w:r>
    </w:p>
    <w:p>
      <w:pPr>
        <w:pStyle w:val="Normal"/>
        <w:spacing w:lineRule="auto" w:line="276"/>
        <w:jc w:val="both"/>
        <w:rPr/>
      </w:pPr>
      <w:r>
        <w:rPr/>
        <w:t xml:space="preserve">2.2. Nombre(s) del (de los) establecimiento(s). </w:t>
      </w:r>
    </w:p>
    <w:p>
      <w:pPr>
        <w:pStyle w:val="Normal"/>
        <w:spacing w:lineRule="auto" w:line="276"/>
        <w:jc w:val="both"/>
        <w:rPr/>
      </w:pPr>
      <w:r>
        <w:rPr/>
        <w:t>2.3. Dirección(es).</w:t>
      </w:r>
    </w:p>
    <w:p>
      <w:pPr>
        <w:pStyle w:val="Normal"/>
        <w:spacing w:lineRule="auto" w:line="276"/>
        <w:jc w:val="both"/>
        <w:rPr/>
      </w:pPr>
      <w:r>
        <w:rPr/>
        <w:t>2.4. Localidad(es).</w:t>
      </w:r>
    </w:p>
    <w:p>
      <w:pPr>
        <w:pStyle w:val="Normal"/>
        <w:spacing w:lineRule="auto" w:line="276"/>
        <w:jc w:val="both"/>
        <w:rPr/>
      </w:pPr>
      <w:r>
        <w:rPr/>
        <w:t>2.5. Teléfono(s) de contacto.</w:t>
      </w:r>
    </w:p>
    <w:p>
      <w:pPr>
        <w:pStyle w:val="Normal"/>
        <w:spacing w:lineRule="auto" w:line="276"/>
        <w:jc w:val="both"/>
        <w:rPr/>
      </w:pPr>
      <w:r>
        <w:rPr/>
        <w:t>2.6. Número de matrícula</w:t>
      </w:r>
    </w:p>
    <w:p>
      <w:pPr>
        <w:pStyle w:val="Normal"/>
        <w:spacing w:lineRule="auto" w:line="276"/>
        <w:jc w:val="both"/>
        <w:rPr/>
      </w:pPr>
      <w:r>
        <w:rPr/>
        <w:t>2.7. Estado de matrícula.</w:t>
      </w:r>
    </w:p>
    <w:p>
      <w:pPr>
        <w:pStyle w:val="Normal"/>
        <w:spacing w:lineRule="auto" w:line="276"/>
        <w:jc w:val="both"/>
        <w:rPr/>
      </w:pPr>
      <w:r>
        <w:rPr/>
        <w:t xml:space="preserve">2.9. CIIU principal. </w:t>
      </w:r>
    </w:p>
    <w:p>
      <w:pPr>
        <w:pStyle w:val="Normal"/>
        <w:spacing w:lineRule="auto" w:line="276"/>
        <w:jc w:val="both"/>
        <w:rPr/>
      </w:pPr>
      <w:r>
        <w:rPr/>
        <w:t>2.10. CIIU secundarios.</w:t>
      </w:r>
    </w:p>
    <w:p>
      <w:pPr>
        <w:pStyle w:val="Normal"/>
        <w:spacing w:lineRule="auto" w:line="276"/>
        <w:jc w:val="both"/>
        <w:rPr/>
      </w:pPr>
      <w:r>
        <w:rPr/>
      </w:r>
    </w:p>
    <w:p>
      <w:pPr>
        <w:pStyle w:val="Normal"/>
        <w:spacing w:lineRule="auto" w:line="276"/>
        <w:jc w:val="both"/>
        <w:rPr/>
      </w:pPr>
      <w:r>
        <w:rPr>
          <w:b/>
          <w:bCs/>
        </w:rPr>
        <w:t>ARTÍCULO 5°. Procedimiento de recopilación.</w:t>
      </w:r>
      <w:r>
        <w:rPr/>
        <w:t xml:space="preserve"> El IDRD definirá los mecanismos, medios y herramientas tecnológicas mediante los cuales se realizará la recopilación y actualización de la información del registro, pudiendo efectuar requerimientos de información a los establecimientos o a entidades distritales y/o nacionales.</w:t>
      </w:r>
    </w:p>
    <w:p>
      <w:pPr>
        <w:pStyle w:val="Normal"/>
        <w:spacing w:lineRule="auto" w:line="276"/>
        <w:jc w:val="both"/>
        <w:rPr>
          <w:b/>
          <w:b/>
          <w:bCs/>
        </w:rPr>
      </w:pPr>
      <w:r>
        <w:rPr>
          <w:b/>
          <w:bCs/>
        </w:rPr>
      </w:r>
    </w:p>
    <w:p>
      <w:pPr>
        <w:pStyle w:val="Normal"/>
        <w:spacing w:lineRule="auto" w:line="276"/>
        <w:jc w:val="both"/>
        <w:rPr/>
      </w:pPr>
      <w:r>
        <w:rPr>
          <w:b/>
          <w:bCs/>
          <w:lang w:val="es-CO"/>
        </w:rPr>
        <w:t xml:space="preserve">ARTÍCULO 6°. Actualización de la información. </w:t>
      </w:r>
      <w:r>
        <w:rPr/>
        <w:t xml:space="preserve">La Subdirección Técnica de Recreación y Deporte </w:t>
      </w:r>
      <w:r>
        <w:rPr>
          <w:lang w:val="es-CO"/>
        </w:rPr>
        <w:t xml:space="preserve">mantendrá actualizada y depurada la información suministrada al registro, para lo cual </w:t>
      </w:r>
      <w:r>
        <w:rPr/>
        <w:t>mecanismos, medios y herramientas tecnológicas o efectuando requerimientos de información a los establecimientos o a entidades distritales y/o nacionales semestralmente.</w:t>
      </w:r>
    </w:p>
    <w:p>
      <w:pPr>
        <w:pStyle w:val="Normal"/>
        <w:spacing w:lineRule="auto" w:line="276"/>
        <w:jc w:val="both"/>
        <w:rPr>
          <w:b/>
          <w:b/>
          <w:bCs/>
          <w:lang w:val="es-CO"/>
        </w:rPr>
      </w:pPr>
      <w:r>
        <w:rPr>
          <w:b/>
          <w:bCs/>
          <w:lang w:val="es-CO"/>
        </w:rPr>
      </w:r>
    </w:p>
    <w:p>
      <w:pPr>
        <w:pStyle w:val="Normal"/>
        <w:spacing w:lineRule="auto" w:line="276"/>
        <w:jc w:val="both"/>
        <w:rPr>
          <w:lang w:val="es-CO"/>
        </w:rPr>
      </w:pPr>
      <w:r>
        <w:rPr>
          <w:b/>
          <w:bCs/>
          <w:lang w:val="es-CO"/>
        </w:rPr>
        <w:t xml:space="preserve">ARTÍCULO 7°. Remisión de la información. </w:t>
      </w:r>
      <w:r>
        <w:rPr>
          <w:lang w:val="es-CO"/>
        </w:rPr>
        <w:t>En cumplimiento del parágrafo del artículo primero del Acuerdo Distrital 734 de 2018, el IDRD remitirá semestralmente la información consolidada del registro a la Secretaría Distrital de Salud y a la Secretaría Distrital de Gobierno, para el ejercicio de las competencias que les correspondan.</w:t>
      </w:r>
    </w:p>
    <w:p>
      <w:pPr>
        <w:pStyle w:val="Normal"/>
        <w:spacing w:lineRule="auto" w:line="276"/>
        <w:jc w:val="both"/>
        <w:rPr>
          <w:b/>
          <w:b/>
          <w:bCs/>
          <w:lang w:val="es-CO"/>
        </w:rPr>
      </w:pPr>
      <w:r>
        <w:rPr>
          <w:b/>
          <w:bCs/>
          <w:lang w:val="es-CO"/>
        </w:rPr>
      </w:r>
    </w:p>
    <w:p>
      <w:pPr>
        <w:pStyle w:val="Normal"/>
        <w:spacing w:lineRule="auto" w:line="276"/>
        <w:jc w:val="both"/>
        <w:rPr>
          <w:lang w:val="es-CO"/>
        </w:rPr>
      </w:pPr>
      <w:r>
        <w:rPr>
          <w:b/>
          <w:bCs/>
          <w:lang w:val="es-CO"/>
        </w:rPr>
        <w:t xml:space="preserve">ARTÍCULO 8°. Uso de la información. </w:t>
      </w:r>
      <w:r>
        <w:rPr>
          <w:lang w:val="es-CO"/>
        </w:rPr>
        <w:t>La información recopilada será utilizada exclusivamente para fines institucionales, de conformidad con la normativa vigente sobre protección de datos personales.</w:t>
      </w:r>
    </w:p>
    <w:p>
      <w:pPr>
        <w:pStyle w:val="Normal"/>
        <w:spacing w:lineRule="auto" w:line="276"/>
        <w:jc w:val="both"/>
        <w:rPr>
          <w:b/>
          <w:b/>
          <w:bCs/>
          <w:lang w:val="es-CO"/>
        </w:rPr>
      </w:pPr>
      <w:r>
        <w:rPr>
          <w:b/>
          <w:bCs/>
          <w:lang w:val="es-CO"/>
        </w:rPr>
      </w:r>
    </w:p>
    <w:p>
      <w:pPr>
        <w:pStyle w:val="Normal"/>
        <w:spacing w:lineRule="auto" w:line="276"/>
        <w:jc w:val="both"/>
        <w:rPr/>
      </w:pPr>
      <w:r>
        <w:rPr>
          <w:b/>
          <w:bCs/>
        </w:rPr>
        <w:t>ARTÍCULO 9</w:t>
      </w:r>
      <w:r>
        <w:rPr>
          <w:b/>
          <w:bCs/>
          <w:lang w:val="es-CO"/>
        </w:rPr>
        <w:t>°</w:t>
      </w:r>
      <w:r>
        <w:rPr>
          <w:b/>
          <w:bCs/>
        </w:rPr>
        <w:t>.</w:t>
      </w:r>
      <w:r>
        <w:rPr>
          <w:b/>
        </w:rPr>
        <w:t xml:space="preserve"> </w:t>
      </w:r>
      <w:r>
        <w:rPr/>
        <w:t>El presente acto administrativo rige a partir de</w:t>
      </w:r>
      <w:r>
        <w:rPr>
          <w:color w:val="C9211E"/>
        </w:rPr>
        <w:t xml:space="preserve">l </w:t>
      </w:r>
      <w:r>
        <w:rPr>
          <w:color w:val="000000"/>
        </w:rPr>
        <w:t>día siguiente a</w:t>
      </w:r>
      <w:r>
        <w:rPr>
          <w:color w:val="000000"/>
        </w:rPr>
        <w:t xml:space="preserve"> </w:t>
      </w:r>
      <w:r>
        <w:rPr/>
        <w:t>la fecha de su publicación.</w:t>
      </w:r>
    </w:p>
    <w:p>
      <w:pPr>
        <w:pStyle w:val="Normal"/>
        <w:spacing w:lineRule="auto" w:line="276"/>
        <w:jc w:val="both"/>
        <w:rPr/>
      </w:pPr>
      <w:r>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PUBLÍQUESE Y CÚMPLASE,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Dada en Bogotá D.C. el día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DANIEL ANDRÉS GARCIA CAÑÓN</w:t>
      </w:r>
    </w:p>
    <w:p>
      <w:pPr>
        <w:pStyle w:val="Normal"/>
        <w:jc w:val="center"/>
        <w:rPr>
          <w:rFonts w:ascii="Arial" w:hAnsi="Arial" w:cs="Arial"/>
          <w:sz w:val="22"/>
          <w:szCs w:val="22"/>
        </w:rPr>
      </w:pPr>
      <w:r>
        <w:rPr>
          <w:rFonts w:cs="Arial" w:ascii="Arial" w:hAnsi="Arial"/>
          <w:b/>
          <w:sz w:val="22"/>
          <w:szCs w:val="22"/>
        </w:rPr>
        <w:t>Director General</w:t>
      </w:r>
    </w:p>
    <w:p>
      <w:pPr>
        <w:pStyle w:val="Normal"/>
        <w:rPr>
          <w:rFonts w:ascii="Arial" w:hAnsi="Arial" w:cs="Arial"/>
          <w:bCs/>
          <w:sz w:val="16"/>
          <w:szCs w:val="16"/>
        </w:rPr>
      </w:pPr>
      <w:r>
        <w:rPr>
          <w:rFonts w:cs="Arial" w:ascii="Arial" w:hAnsi="Arial"/>
          <w:bCs/>
          <w:sz w:val="16"/>
          <w:szCs w:val="16"/>
        </w:rPr>
      </w:r>
    </w:p>
    <w:p>
      <w:pPr>
        <w:pStyle w:val="Normal"/>
        <w:rPr>
          <w:rFonts w:ascii="Arial" w:hAnsi="Arial" w:cs="Arial"/>
          <w:bCs/>
          <w:sz w:val="16"/>
          <w:szCs w:val="16"/>
        </w:rPr>
      </w:pPr>
      <w:r>
        <w:rPr>
          <w:rFonts w:cs="Arial" w:ascii="Arial" w:hAnsi="Arial"/>
          <w:bCs/>
          <w:sz w:val="16"/>
          <w:szCs w:val="16"/>
        </w:rPr>
        <w:t xml:space="preserve">Proyectó: Andrés Giovanny Candela García – Profesional Especializado 222 - 06 – Área de Recreación </w:t>
      </w:r>
      <w:r>
        <w:rPr/>
        <w:drawing>
          <wp:inline distT="0" distB="0" distL="0" distR="0">
            <wp:extent cx="394335" cy="171450"/>
            <wp:effectExtent l="0" t="0" r="0" b="0"/>
            <wp:docPr id="1"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que contiene Texto&#10;&#10;El contenido generado por IA puede ser incorrecto."/>
                    <pic:cNvPicPr>
                      <a:picLocks noChangeAspect="1" noChangeArrowheads="1"/>
                    </pic:cNvPicPr>
                  </pic:nvPicPr>
                  <pic:blipFill>
                    <a:blip r:embed="rId4"/>
                    <a:stretch>
                      <a:fillRect/>
                    </a:stretch>
                  </pic:blipFill>
                  <pic:spPr bwMode="auto">
                    <a:xfrm>
                      <a:off x="0" y="0"/>
                      <a:ext cx="394335" cy="171450"/>
                    </a:xfrm>
                    <a:prstGeom prst="rect">
                      <a:avLst/>
                    </a:prstGeom>
                  </pic:spPr>
                </pic:pic>
              </a:graphicData>
            </a:graphic>
          </wp:inline>
        </w:drawing>
      </w:r>
    </w:p>
    <w:p>
      <w:pPr>
        <w:pStyle w:val="Normal"/>
        <w:rPr/>
      </w:pPr>
      <w:r>
        <w:rPr>
          <w:rFonts w:cs="Arial" w:ascii="Arial" w:hAnsi="Arial"/>
          <w:bCs/>
          <w:sz w:val="16"/>
          <w:szCs w:val="16"/>
        </w:rPr>
        <w:t xml:space="preserve">Revisó: Mauricio Galvis Badillo - Abogado contratista- STRD </w:t>
      </w:r>
      <w:r>
        <w:rPr/>
        <w:drawing>
          <wp:inline distT="0" distB="0" distL="0" distR="0">
            <wp:extent cx="226060" cy="175895"/>
            <wp:effectExtent l="0" t="0" r="0" b="0"/>
            <wp:docPr id="2" name="Imagen 1" descr="Un 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dibujo en blanco y negro&#10;&#10;El contenido generado por IA puede ser incorrecto."/>
                    <pic:cNvPicPr>
                      <a:picLocks noChangeAspect="1" noChangeArrowheads="1"/>
                    </pic:cNvPicPr>
                  </pic:nvPicPr>
                  <pic:blipFill>
                    <a:blip r:embed="rId5"/>
                    <a:stretch>
                      <a:fillRect/>
                    </a:stretch>
                  </pic:blipFill>
                  <pic:spPr bwMode="auto">
                    <a:xfrm>
                      <a:off x="0" y="0"/>
                      <a:ext cx="226060" cy="175895"/>
                    </a:xfrm>
                    <a:prstGeom prst="rect">
                      <a:avLst/>
                    </a:prstGeom>
                  </pic:spPr>
                </pic:pic>
              </a:graphicData>
            </a:graphic>
          </wp:inline>
        </w:drawing>
      </w:r>
    </w:p>
    <w:p>
      <w:pPr>
        <w:pStyle w:val="Normal"/>
        <w:rPr>
          <w:rFonts w:ascii="Arial" w:hAnsi="Arial" w:cs="Arial"/>
          <w:bCs/>
          <w:sz w:val="16"/>
          <w:szCs w:val="16"/>
        </w:rPr>
      </w:pPr>
      <w:r>
        <w:drawing>
          <wp:anchor behindDoc="0" distT="0" distB="0" distL="0" distR="0" simplePos="0" locked="0" layoutInCell="1" allowOverlap="1" relativeHeight="6">
            <wp:simplePos x="0" y="0"/>
            <wp:positionH relativeFrom="column">
              <wp:posOffset>4399915</wp:posOffset>
            </wp:positionH>
            <wp:positionV relativeFrom="paragraph">
              <wp:posOffset>136525</wp:posOffset>
            </wp:positionV>
            <wp:extent cx="431165" cy="148590"/>
            <wp:effectExtent l="0" t="0" r="0" b="0"/>
            <wp:wrapNone/>
            <wp:docPr id="3" name="Imagen3"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Un insecto en un fondo blanco&#10;&#10;El contenido generado por IA puede ser incorrecto."/>
                    <pic:cNvPicPr>
                      <a:picLocks noChangeAspect="1" noChangeArrowheads="1"/>
                    </pic:cNvPicPr>
                  </pic:nvPicPr>
                  <pic:blipFill>
                    <a:blip r:embed="rId6"/>
                    <a:stretch>
                      <a:fillRect/>
                    </a:stretch>
                  </pic:blipFill>
                  <pic:spPr bwMode="auto">
                    <a:xfrm flipH="1">
                      <a:off x="0" y="0"/>
                      <a:ext cx="431165" cy="148590"/>
                    </a:xfrm>
                    <a:prstGeom prst="rect">
                      <a:avLst/>
                    </a:prstGeom>
                  </pic:spPr>
                </pic:pic>
              </a:graphicData>
            </a:graphic>
          </wp:anchor>
        </w:drawing>
      </w:r>
      <w:r>
        <w:rPr>
          <w:rFonts w:cs="Arial" w:ascii="Arial" w:hAnsi="Arial"/>
          <w:bCs/>
          <w:sz w:val="16"/>
          <w:szCs w:val="16"/>
        </w:rPr>
        <w:t xml:space="preserve"> </w:t>
      </w:r>
      <w:r>
        <w:rPr>
          <w:rFonts w:cs="Arial" w:ascii="Arial" w:hAnsi="Arial"/>
          <w:bCs/>
          <w:sz w:val="16"/>
          <w:szCs w:val="16"/>
        </w:rPr>
        <w:t xml:space="preserve">             </w:t>
      </w:r>
      <w:r>
        <w:rPr>
          <w:rFonts w:cs="Arial" w:ascii="Arial" w:hAnsi="Arial"/>
          <w:bCs/>
          <w:sz w:val="16"/>
          <w:szCs w:val="16"/>
        </w:rPr>
        <w:t>Andrea Yeraldin Murcia Martin</w:t>
      </w:r>
      <w:r>
        <w:rPr>
          <w:rFonts w:cs="Arial" w:ascii="Arial" w:hAnsi="Arial"/>
          <w:bCs/>
          <w:sz w:val="16"/>
          <w:szCs w:val="16"/>
          <w:lang w:val="es-CO"/>
        </w:rPr>
        <w:t xml:space="preserve"> – Abogada contratista - STRD</w:t>
      </w:r>
      <w:r>
        <w:rPr/>
        <w:drawing>
          <wp:inline distT="0" distB="0" distL="0" distR="0">
            <wp:extent cx="329565" cy="161925"/>
            <wp:effectExtent l="0" t="0" r="0" b="0"/>
            <wp:docPr id="4"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
                    <pic:cNvPicPr>
                      <a:picLocks noChangeAspect="1" noChangeArrowheads="1"/>
                    </pic:cNvPicPr>
                  </pic:nvPicPr>
                  <pic:blipFill>
                    <a:blip r:embed="rId7"/>
                    <a:stretch>
                      <a:fillRect/>
                    </a:stretch>
                  </pic:blipFill>
                  <pic:spPr bwMode="auto">
                    <a:xfrm>
                      <a:off x="0" y="0"/>
                      <a:ext cx="329565" cy="161925"/>
                    </a:xfrm>
                    <a:prstGeom prst="rect">
                      <a:avLst/>
                    </a:prstGeom>
                  </pic:spPr>
                </pic:pic>
              </a:graphicData>
            </a:graphic>
          </wp:inline>
        </w:drawing>
      </w:r>
    </w:p>
    <w:p>
      <w:pPr>
        <w:pStyle w:val="Normal"/>
        <w:rPr>
          <w:rFonts w:ascii="Arial" w:hAnsi="Arial" w:cs="Arial"/>
          <w:bCs/>
          <w:sz w:val="16"/>
          <w:szCs w:val="16"/>
        </w:rPr>
      </w:pPr>
      <w:r>
        <w:rPr>
          <w:rFonts w:cs="Arial" w:ascii="Arial" w:hAnsi="Arial"/>
          <w:bCs/>
          <w:sz w:val="16"/>
          <w:szCs w:val="16"/>
        </w:rPr>
        <w:t>Aprobó: Claudia Yolanda Molina Gaitán- Profesional Especializado 222- 11- Área de Recreación</w:t>
      </w:r>
    </w:p>
    <w:p>
      <w:pPr>
        <w:pStyle w:val="Normal"/>
        <w:rPr>
          <w:rFonts w:ascii="Arial" w:hAnsi="Arial" w:cs="Arial"/>
          <w:bCs/>
          <w:sz w:val="16"/>
          <w:szCs w:val="16"/>
        </w:rPr>
      </w:pPr>
      <w:r>
        <w:rPr>
          <w:rFonts w:cs="Arial" w:ascii="Arial" w:hAnsi="Arial"/>
          <w:bCs/>
          <w:sz w:val="16"/>
          <w:szCs w:val="16"/>
        </w:rPr>
        <w:t xml:space="preserve">               </w:t>
      </w:r>
      <w:r>
        <w:rPr>
          <w:rFonts w:cs="Arial" w:ascii="Arial" w:hAnsi="Arial"/>
          <w:bCs/>
          <w:sz w:val="16"/>
          <w:szCs w:val="16"/>
        </w:rPr>
        <w:t xml:space="preserve">Iván Dario Morales Caicedo – Subdirector Técnico de Recreación y Deporte </w:t>
      </w:r>
      <w:r>
        <w:rPr/>
        <w:drawing>
          <wp:inline distT="0" distB="0" distL="0" distR="0">
            <wp:extent cx="342900" cy="159385"/>
            <wp:effectExtent l="0" t="0" r="0" b="0"/>
            <wp:docPr id="5" name="Imagen5"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5" descr="Imagen que contiene Forma&#10;&#10;El contenido generado por IA puede ser incorrecto."/>
                    <pic:cNvPicPr>
                      <a:picLocks noChangeAspect="1" noChangeArrowheads="1"/>
                    </pic:cNvPicPr>
                  </pic:nvPicPr>
                  <pic:blipFill>
                    <a:blip r:embed="rId8"/>
                    <a:stretch>
                      <a:fillRect/>
                    </a:stretch>
                  </pic:blipFill>
                  <pic:spPr bwMode="auto">
                    <a:xfrm>
                      <a:off x="0" y="0"/>
                      <a:ext cx="342900" cy="159385"/>
                    </a:xfrm>
                    <a:prstGeom prst="rect">
                      <a:avLst/>
                    </a:prstGeom>
                  </pic:spPr>
                </pic:pic>
              </a:graphicData>
            </a:graphic>
          </wp:inline>
        </w:drawing>
      </w:r>
    </w:p>
    <w:p>
      <w:pPr>
        <w:pStyle w:val="Normal"/>
        <w:rPr>
          <w:rFonts w:ascii="Arial" w:hAnsi="Arial" w:cs="Arial"/>
          <w:bCs/>
          <w:sz w:val="16"/>
          <w:szCs w:val="16"/>
        </w:rPr>
      </w:pPr>
      <w:r>
        <w:rPr>
          <w:rFonts w:cs="Arial" w:ascii="Arial" w:hAnsi="Arial"/>
          <w:bCs/>
          <w:sz w:val="16"/>
          <w:szCs w:val="16"/>
        </w:rPr>
        <w:t xml:space="preserve"> </w:t>
      </w:r>
    </w:p>
    <w:p>
      <w:pPr>
        <w:pStyle w:val="Normal"/>
        <w:rPr>
          <w:rFonts w:ascii="Arial" w:hAnsi="Arial" w:cs="Arial"/>
          <w:bCs/>
          <w:sz w:val="16"/>
          <w:szCs w:val="16"/>
        </w:rPr>
      </w:pPr>
      <w:r>
        <w:rPr>
          <w:rFonts w:cs="Arial" w:ascii="Arial" w:hAnsi="Arial"/>
          <w:bCs/>
          <w:sz w:val="16"/>
          <w:szCs w:val="16"/>
        </w:rPr>
      </w:r>
    </w:p>
    <w:p>
      <w:pPr>
        <w:pStyle w:val="Normal"/>
        <w:rPr/>
      </w:pPr>
      <w:r>
        <w:rPr/>
      </w:r>
    </w:p>
    <w:sectPr>
      <w:headerReference w:type="default" r:id="rId9"/>
      <w:footerReference w:type="default" r:id="rId10"/>
      <w:footnotePr>
        <w:numFmt w:val="decimal"/>
      </w:footnotePr>
      <w:type w:val="nextPage"/>
      <w:pgSz w:w="12240" w:h="18720"/>
      <w:pgMar w:left="1701" w:right="1701" w:header="567" w:top="1174" w:footer="397" w:bottom="170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rFonts w:ascii="Arial" w:hAnsi="Arial" w:cs="Arial"/>
        <w:sz w:val="14"/>
        <w:szCs w:val="14"/>
      </w:rPr>
    </w:pPr>
    <w:r>
      <w:rPr>
        <w:rFonts w:cs="Arial" w:ascii="Arial" w:hAnsi="Arial"/>
        <w:sz w:val="14"/>
        <w:szCs w:val="14"/>
      </w:rPr>
      <w:drawing>
        <wp:anchor behindDoc="1" distT="0" distB="0" distL="114300" distR="114300" simplePos="0" locked="0" layoutInCell="1" allowOverlap="1" relativeHeight="5">
          <wp:simplePos x="0" y="0"/>
          <wp:positionH relativeFrom="column">
            <wp:posOffset>5320665</wp:posOffset>
          </wp:positionH>
          <wp:positionV relativeFrom="paragraph">
            <wp:posOffset>13970</wp:posOffset>
          </wp:positionV>
          <wp:extent cx="704850" cy="683260"/>
          <wp:effectExtent l="0" t="0" r="0" b="0"/>
          <wp:wrapSquare wrapText="bothSides"/>
          <wp:docPr id="7" name="Imagen6" descr="MANUAL DE ID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6" descr="MANUAL DE IDENTIDAD"/>
                  <pic:cNvPicPr>
                    <a:picLocks noChangeAspect="1" noChangeArrowheads="1"/>
                  </pic:cNvPicPr>
                </pic:nvPicPr>
                <pic:blipFill>
                  <a:blip r:embed="rId1"/>
                  <a:stretch>
                    <a:fillRect/>
                  </a:stretch>
                </pic:blipFill>
                <pic:spPr bwMode="auto">
                  <a:xfrm>
                    <a:off x="0" y="0"/>
                    <a:ext cx="704850" cy="683260"/>
                  </a:xfrm>
                  <a:prstGeom prst="rect">
                    <a:avLst/>
                  </a:prstGeom>
                </pic:spPr>
              </pic:pic>
            </a:graphicData>
          </a:graphic>
        </wp:anchor>
      </w:drawing>
    </w:r>
  </w:p>
  <w:p>
    <w:pPr>
      <w:pStyle w:val="Piedepgina"/>
      <w:rPr>
        <w:rFonts w:ascii="Arial" w:hAnsi="Arial" w:cs="Arial"/>
        <w:sz w:val="14"/>
        <w:szCs w:val="14"/>
      </w:rPr>
    </w:pPr>
    <w:r>
      <w:rPr>
        <w:rFonts w:cs="Arial" w:ascii="Arial" w:hAnsi="Arial"/>
        <w:sz w:val="14"/>
        <w:szCs w:val="14"/>
      </w:rPr>
    </w:r>
  </w:p>
  <w:p>
    <w:pPr>
      <w:pStyle w:val="Piedepgina"/>
      <w:rPr>
        <w:rFonts w:ascii="Arial" w:hAnsi="Arial" w:cs="Arial"/>
        <w:sz w:val="14"/>
        <w:szCs w:val="14"/>
      </w:rPr>
    </w:pPr>
    <w:r>
      <w:rPr>
        <w:rFonts w:cs="Arial" w:ascii="Arial" w:hAnsi="Arial"/>
        <w:sz w:val="14"/>
        <w:szCs w:val="14"/>
      </w:rPr>
      <w:t>Instituto Distrital de Recreación y Deporte</w:t>
    </w:r>
  </w:p>
  <w:p>
    <w:pPr>
      <w:pStyle w:val="Piedepgina"/>
      <w:rPr>
        <w:rFonts w:ascii="Arial" w:hAnsi="Arial" w:cs="Arial"/>
        <w:sz w:val="14"/>
        <w:szCs w:val="14"/>
      </w:rPr>
    </w:pPr>
    <w:r>
      <w:rPr>
        <w:rFonts w:cs="Arial" w:ascii="Arial" w:hAnsi="Arial"/>
        <w:sz w:val="14"/>
        <w:szCs w:val="14"/>
      </w:rPr>
      <w:t>Calle 63 No. 59ª -06</w:t>
    </w:r>
  </w:p>
  <w:p>
    <w:pPr>
      <w:pStyle w:val="Piedepgina"/>
      <w:rPr>
        <w:rFonts w:ascii="Arial" w:hAnsi="Arial" w:cs="Arial"/>
        <w:sz w:val="14"/>
        <w:szCs w:val="14"/>
      </w:rPr>
    </w:pPr>
    <w:r>
      <w:rPr>
        <w:rFonts w:cs="Arial" w:ascii="Arial" w:hAnsi="Arial"/>
        <w:sz w:val="14"/>
        <w:szCs w:val="14"/>
      </w:rPr>
      <w:t>Tel: 6605400</w:t>
    </w:r>
  </w:p>
  <w:p>
    <w:pPr>
      <w:pStyle w:val="Piedepgina"/>
      <w:rPr>
        <w:rFonts w:ascii="Arial" w:hAnsi="Arial" w:cs="Arial"/>
        <w:sz w:val="14"/>
        <w:szCs w:val="14"/>
      </w:rPr>
    </w:pPr>
    <w:r>
      <w:rPr>
        <w:rFonts w:cs="Arial" w:ascii="Arial" w:hAnsi="Arial"/>
        <w:sz w:val="14"/>
        <w:szCs w:val="14"/>
      </w:rPr>
      <w:t>www.idrd.gov.co</w:t>
      <w:tab/>
      <w:tab/>
    </w:r>
  </w:p>
  <w:p>
    <w:pPr>
      <w:pStyle w:val="Piedepgina"/>
      <w:rPr>
        <w:rFonts w:ascii="Arial" w:hAnsi="Arial" w:cs="Arial"/>
        <w:sz w:val="14"/>
        <w:szCs w:val="14"/>
      </w:rPr>
    </w:pPr>
    <w:r>
      <w:rPr>
        <w:rFonts w:cs="Arial" w:ascii="Arial" w:hAnsi="Arial"/>
        <w:sz w:val="14"/>
        <w:szCs w:val="14"/>
      </w:rPr>
      <w:t>info: Línea 195</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rPr/>
      </w:pPr>
      <w:r>
        <w:rPr>
          <w:rStyle w:val="Caracteresdenotaalpie"/>
        </w:rPr>
        <w:footnoteRef/>
      </w:r>
      <w:hyperlink r:id="rId1">
        <w:r>
          <w:rPr>
            <w:rStyle w:val="EnlacedeInternet"/>
          </w:rPr>
          <w:tab/>
          <w:t>https://www.alcaldiabogota.gov.co/sisjur/normas/Norma1.jsp?i=82155</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5433060" cy="440055"/>
          <wp:effectExtent l="0" t="0" r="0" b="0"/>
          <wp:docPr id="6"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
                  <pic:cNvPicPr>
                    <a:picLocks noChangeAspect="1" noChangeArrowheads="1"/>
                  </pic:cNvPicPr>
                </pic:nvPicPr>
                <pic:blipFill>
                  <a:blip r:embed="rId1"/>
                  <a:stretch>
                    <a:fillRect/>
                  </a:stretch>
                </pic:blipFill>
                <pic:spPr bwMode="auto">
                  <a:xfrm>
                    <a:off x="0" y="0"/>
                    <a:ext cx="5433060" cy="440055"/>
                  </a:xfrm>
                  <a:prstGeom prst="rect">
                    <a:avLst/>
                  </a:prstGeom>
                </pic:spPr>
              </pic:pic>
            </a:graphicData>
          </a:graphic>
        </wp:inline>
      </w:drawing>
    </w:r>
  </w:p>
  <w:p>
    <w:pPr>
      <w:pStyle w:val="Cabecera"/>
      <w:jc w:val="center"/>
      <w:rPr/>
    </w:pPr>
    <w:r>
      <w:rPr/>
      <w:t>______________________________________________________________________________</w:t>
    </w:r>
  </w:p>
  <w:p>
    <w:pPr>
      <w:pStyle w:val="Cabecera"/>
      <w:rPr>
        <w:rFonts w:ascii="Arial" w:hAnsi="Arial" w:cs="Arial"/>
        <w:u w:val="single"/>
      </w:rPr>
    </w:pPr>
    <w:r>
      <w:rPr>
        <w:rFonts w:cs="Arial" w:ascii="Arial" w:hAnsi="Arial"/>
        <w:u w:val="single"/>
      </w:rPr>
      <w:t>INSTITUTO DISTRITAL DE RECREACIÓN Y DEPORTE</w:t>
      <w:tab/>
      <w:t>RESOLUCIÓN No.</w:t>
    </w:r>
  </w:p>
  <w:p>
    <w:pPr>
      <w:pStyle w:val="Cabecera"/>
      <w:jc w:val="center"/>
      <w:rPr/>
    </w:pPr>
    <w:r>
      <w:rPr/>
    </w:r>
  </w:p>
  <w:p>
    <w:pPr>
      <w:pStyle w:val="Cabecera"/>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Por medio de la cual se definen los lineamientos técnicos y administrativos para la recopilación, actualización, administración y remisión del Registro Distrital de Establecimientos donde se prestan servicios relacionados con el entrenamiento y acondicionamiento físico ordenada mediante el Acuerdo Distrital 734 de 2018”.</w:t>
    </w:r>
    <w:bookmarkStart w:id="0" w:name="_Hlk208413725"/>
    <w:bookmarkEnd w:id="0"/>
  </w:p>
  <w:p>
    <w:pPr>
      <w:pStyle w:val="Cabecera"/>
      <w:rPr/>
    </w:pPr>
    <w:r>
      <w:rPr/>
    </w:r>
  </w:p>
</w:hdr>
</file>

<file path=word/settings.xml><?xml version="1.0" encoding="utf-8"?>
<w:settings xmlns:w="http://schemas.openxmlformats.org/wordprocessingml/2006/main">
  <w:zoom w:percent="15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782a"/>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34782a"/>
    <w:rPr/>
  </w:style>
  <w:style w:type="character" w:styleId="PiedepginaCar" w:customStyle="1">
    <w:name w:val="Pie de página Car"/>
    <w:basedOn w:val="DefaultParagraphFont"/>
    <w:link w:val="Piedepgina"/>
    <w:uiPriority w:val="99"/>
    <w:qFormat/>
    <w:rsid w:val="0034782a"/>
    <w:rPr/>
  </w:style>
  <w:style w:type="character" w:styleId="EnlacedeInternet">
    <w:name w:val="Enlace de Internet"/>
    <w:basedOn w:val="DefaultParagraphFont"/>
    <w:uiPriority w:val="99"/>
    <w:unhideWhenUsed/>
    <w:rsid w:val="003f6329"/>
    <w:rPr>
      <w:color w:val="0563C1" w:themeColor="hyperlink"/>
      <w:u w:val="single"/>
    </w:rPr>
  </w:style>
  <w:style w:type="character" w:styleId="UnresolvedMention">
    <w:name w:val="Unresolved Mention"/>
    <w:basedOn w:val="DefaultParagraphFont"/>
    <w:uiPriority w:val="99"/>
    <w:semiHidden/>
    <w:unhideWhenUsed/>
    <w:qFormat/>
    <w:rsid w:val="003f6329"/>
    <w:rPr>
      <w:color w:val="605E5C"/>
      <w:shd w:fill="E1DFDD" w:val="clear"/>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nhideWhenUsed/>
    <w:rsid w:val="0034782a"/>
    <w:pPr>
      <w:tabs>
        <w:tab w:val="clear" w:pos="708"/>
        <w:tab w:val="center" w:pos="4419" w:leader="none"/>
        <w:tab w:val="right" w:pos="8838" w:leader="none"/>
      </w:tabs>
      <w:suppressAutoHyphens w:val="false"/>
      <w:textAlignment w:val="auto"/>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4782a"/>
    <w:pPr>
      <w:tabs>
        <w:tab w:val="clear" w:pos="708"/>
        <w:tab w:val="center" w:pos="4419" w:leader="none"/>
        <w:tab w:val="right" w:pos="8838" w:leader="none"/>
      </w:tabs>
      <w:suppressAutoHyphens w:val="false"/>
      <w:textAlignment w:val="auto"/>
    </w:pPr>
    <w:rPr>
      <w:rFonts w:ascii="Calibri" w:hAnsi="Calibri" w:eastAsia="Calibri" w:cs="" w:asciiTheme="minorHAnsi" w:cstheme="minorBidi" w:eastAsiaTheme="minorHAnsi" w:hAnsiTheme="minorHAnsi"/>
      <w:sz w:val="22"/>
      <w:szCs w:val="22"/>
      <w:lang w:val="es-CO" w:eastAsia="en-US"/>
    </w:rPr>
  </w:style>
  <w:style w:type="paragraph" w:styleId="Notaalpie">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sjur.bogotajuridica.gov.co/sisjur/normas/Norma1.jsp?dt=S&amp;i=4125" TargetMode="External"/><Relationship Id="rId3" Type="http://schemas.openxmlformats.org/officeDocument/2006/relationships/hyperlink" Target="https://sisjur.bogotajuridica.gov.co/sisjur/normas/Norma1.jsp?dt=S&amp;i=4125" TargetMode="Externa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footnotes.xml.rels><?xml version="1.0" encoding="UTF-8"?>
<Relationships xmlns="http://schemas.openxmlformats.org/package/2006/relationships"><Relationship Id="rId1" Type="http://schemas.openxmlformats.org/officeDocument/2006/relationships/hyperlink" Target="https://www.alcaldiabogota.gov.co/sisjur/normas/Norma1.jsp?i=82155" TargetMode="External"/>
</Relationships>
</file>

<file path=word/_rels/header1.xml.rels><?xml version="1.0" encoding="UTF-8"?>
<Relationships xmlns="http://schemas.openxmlformats.org/package/2006/relationships"><Relationship Id="rId1" Type="http://schemas.openxmlformats.org/officeDocument/2006/relationships/image" Target="media/image6.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A961-D7E0-41DA-ACC3-B4E1068E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LibreOffice/6.3.6.2$Windows_X86_64 LibreOffice_project/2196df99b074d8a661f4036fca8fa0cbfa33a497</Application>
  <Pages>4</Pages>
  <Words>1331</Words>
  <Characters>7324</Characters>
  <CharactersWithSpaces>8638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2026-02-17T20:41:00Z</dcterms:created>
  <dc:creator>Claudia Gisela Torrado Calderon</dc:creator>
  <dc:description/>
  <dc:language>es-CO</dc:language>
  <cp:lastModifiedBy/>
  <dcterms:modified xsi:type="dcterms:W3CDTF">2026-02-18T15:07:57Z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